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3EB2" w:rsidRDefault="00E33EB2" w:rsidP="00E33EB2">
      <w:pPr>
        <w:pStyle w:val="a3"/>
        <w:shd w:val="clear" w:color="auto" w:fill="FFFFFF"/>
        <w:wordWrap w:val="0"/>
        <w:spacing w:before="0" w:beforeAutospacing="0" w:after="0" w:afterAutospacing="0" w:line="480" w:lineRule="atLeast"/>
        <w:jc w:val="both"/>
        <w:rPr>
          <w:rFonts w:ascii="微软雅黑" w:eastAsia="微软雅黑" w:hAnsi="微软雅黑"/>
          <w:color w:val="333333"/>
        </w:rPr>
      </w:pPr>
      <w:r>
        <w:rPr>
          <w:rFonts w:ascii="仿宋_GB2312" w:eastAsia="微软雅黑" w:hAnsi="仿宋_GB2312"/>
          <w:color w:val="383838"/>
          <w:sz w:val="27"/>
          <w:szCs w:val="27"/>
        </w:rPr>
        <w:t>理学院应用物理学专业</w:t>
      </w:r>
      <w:r>
        <w:rPr>
          <w:rFonts w:ascii="仿宋_GB2312" w:eastAsia="微软雅黑" w:hAnsi="仿宋_GB2312"/>
          <w:color w:val="383838"/>
          <w:sz w:val="27"/>
          <w:szCs w:val="27"/>
        </w:rPr>
        <w:t>2002</w:t>
      </w:r>
      <w:r>
        <w:rPr>
          <w:rFonts w:ascii="仿宋_GB2312" w:eastAsia="微软雅黑" w:hAnsi="仿宋_GB2312"/>
          <w:color w:val="383838"/>
          <w:sz w:val="27"/>
          <w:szCs w:val="27"/>
        </w:rPr>
        <w:t>年获教育部批准设立，</w:t>
      </w:r>
      <w:r>
        <w:rPr>
          <w:rFonts w:ascii="仿宋_GB2312" w:eastAsia="仿宋_GB2312" w:hAnsi="仿宋_GB2312" w:hint="eastAsia"/>
          <w:color w:val="383838"/>
          <w:sz w:val="27"/>
          <w:szCs w:val="27"/>
        </w:rPr>
        <w:t>于2003年开始招生，至今已有18年的办学历史。2005年，获批物理电子学二级学科硕士点，2019年经动态调整为物理学一级学科硕士点。目前应用物理学专业在校本科生210人，2021年招生人数为60人。</w:t>
      </w:r>
    </w:p>
    <w:p w:rsidR="00E33EB2" w:rsidRDefault="00E33EB2" w:rsidP="00E33EB2">
      <w:pPr>
        <w:pStyle w:val="a3"/>
        <w:shd w:val="clear" w:color="auto" w:fill="FFFFFF"/>
        <w:wordWrap w:val="0"/>
        <w:spacing w:before="0" w:beforeAutospacing="0" w:after="0" w:afterAutospacing="0" w:line="480" w:lineRule="atLeast"/>
        <w:jc w:val="center"/>
        <w:rPr>
          <w:rFonts w:ascii="微软雅黑" w:eastAsia="微软雅黑" w:hAnsi="微软雅黑"/>
          <w:color w:val="333333"/>
        </w:rPr>
      </w:pP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drawing>
          <wp:inline distT="0" distB="0" distL="0" distR="0" wp14:anchorId="573B68FC" wp14:editId="199F412F">
            <wp:extent cx="5334559" cy="2321477"/>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59440" cy="2332305"/>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80" w:lineRule="atLeast"/>
        <w:jc w:val="center"/>
        <w:rPr>
          <w:rFonts w:ascii="仿宋_GB2312" w:eastAsia="仿宋_GB2312" w:hAnsi="仿宋_GB2312"/>
          <w:color w:val="333333"/>
        </w:rPr>
      </w:pPr>
      <w:r>
        <w:rPr>
          <w:rFonts w:ascii="仿宋_GB2312" w:eastAsia="仿宋_GB2312" w:hAnsi="仿宋_GB2312" w:hint="eastAsia"/>
          <w:color w:val="333333"/>
        </w:rPr>
        <w:t>图1 应用物理学专业历史沿革图</w:t>
      </w:r>
    </w:p>
    <w:p w:rsidR="00E33EB2" w:rsidRDefault="00E33EB2" w:rsidP="00E33EB2">
      <w:pPr>
        <w:pStyle w:val="a3"/>
        <w:shd w:val="clear" w:color="auto" w:fill="FFFFFF"/>
        <w:wordWrap w:val="0"/>
        <w:spacing w:before="0" w:beforeAutospacing="0" w:after="0" w:afterAutospacing="0" w:line="480" w:lineRule="atLeast"/>
        <w:jc w:val="both"/>
        <w:rPr>
          <w:rFonts w:ascii="微软雅黑" w:eastAsia="微软雅黑" w:hAnsi="微软雅黑"/>
          <w:color w:val="333333"/>
        </w:rPr>
      </w:pPr>
      <w:r>
        <w:rPr>
          <w:rFonts w:ascii="Calibri" w:eastAsia="仿宋_GB2312" w:hAnsi="Calibri" w:cs="Calibri"/>
          <w:color w:val="383838"/>
          <w:sz w:val="27"/>
          <w:szCs w:val="27"/>
        </w:rPr>
        <w:t> </w:t>
      </w:r>
      <w:r>
        <w:rPr>
          <w:rFonts w:ascii="仿宋_GB2312" w:eastAsia="仿宋_GB2312" w:hAnsi="仿宋_GB2312" w:hint="eastAsia"/>
          <w:color w:val="383838"/>
          <w:sz w:val="27"/>
          <w:szCs w:val="27"/>
        </w:rPr>
        <w:t xml:space="preserve"> </w:t>
      </w:r>
      <w:r>
        <w:rPr>
          <w:rFonts w:ascii="Calibri" w:eastAsia="仿宋_GB2312" w:hAnsi="Calibri" w:cs="Calibri"/>
          <w:color w:val="383838"/>
          <w:sz w:val="27"/>
          <w:szCs w:val="27"/>
        </w:rPr>
        <w:t> </w:t>
      </w:r>
      <w:r>
        <w:rPr>
          <w:rFonts w:ascii="仿宋_GB2312" w:eastAsia="仿宋_GB2312" w:hAnsi="仿宋_GB2312" w:hint="eastAsia"/>
          <w:color w:val="383838"/>
          <w:sz w:val="27"/>
          <w:szCs w:val="27"/>
        </w:rPr>
        <w:t xml:space="preserve"> </w:t>
      </w:r>
      <w:r>
        <w:rPr>
          <w:rFonts w:ascii="Calibri" w:eastAsia="仿宋_GB2312" w:hAnsi="Calibri" w:cs="Calibri"/>
          <w:color w:val="383838"/>
          <w:sz w:val="27"/>
          <w:szCs w:val="27"/>
        </w:rPr>
        <w:t> </w:t>
      </w:r>
      <w:r>
        <w:rPr>
          <w:rFonts w:ascii="仿宋_GB2312" w:eastAsia="仿宋_GB2312" w:hAnsi="仿宋_GB2312" w:hint="eastAsia"/>
          <w:color w:val="383838"/>
          <w:sz w:val="27"/>
          <w:szCs w:val="27"/>
        </w:rPr>
        <w:t xml:space="preserve"> </w:t>
      </w:r>
      <w:r>
        <w:rPr>
          <w:rFonts w:ascii="Calibri" w:eastAsia="仿宋_GB2312" w:hAnsi="Calibri" w:cs="Calibri"/>
          <w:color w:val="383838"/>
          <w:sz w:val="27"/>
          <w:szCs w:val="27"/>
        </w:rPr>
        <w:t> </w:t>
      </w:r>
      <w:r>
        <w:rPr>
          <w:rFonts w:ascii="仿宋_GB2312" w:eastAsia="仿宋_GB2312" w:hAnsi="仿宋_GB2312" w:hint="eastAsia"/>
          <w:color w:val="383838"/>
          <w:sz w:val="27"/>
          <w:szCs w:val="27"/>
        </w:rPr>
        <w:t>应用物理学专业</w:t>
      </w:r>
      <w:r>
        <w:rPr>
          <w:rFonts w:ascii="仿宋_GB2312" w:eastAsia="仿宋_GB2312" w:hAnsi="仿宋_GB2312" w:hint="eastAsia"/>
          <w:color w:val="383838"/>
          <w:sz w:val="27"/>
          <w:szCs w:val="27"/>
          <w:shd w:val="clear" w:color="auto" w:fill="FFFFFF"/>
        </w:rPr>
        <w:t>面向无损检测技术、半导体材料与器件、光伏器件与工艺等技术领域培养具备扎实理论基础和丰富实践经验的复合型人才。该专业开设普通物理、电磁学、光学、数学物理方法、固体物理、半导体物理学、计算物理、材料物理、无损检测概论、半导体工艺、光伏器件与工艺、光电子学、材料分析检测技术、光电检测技术、电路分析、模拟电路、数字电路、信号与系统、单片机原理、嵌入式系统、计算机网络等专业理论和课程。</w:t>
      </w:r>
      <w:r>
        <w:rPr>
          <w:rFonts w:ascii="Calibri" w:eastAsia="仿宋_GB2312" w:hAnsi="Calibri" w:cs="Calibri"/>
          <w:color w:val="383838"/>
          <w:sz w:val="27"/>
          <w:szCs w:val="27"/>
          <w:shd w:val="clear" w:color="auto" w:fill="FFFFFF"/>
        </w:rPr>
        <w:t> </w:t>
      </w:r>
      <w:r>
        <w:rPr>
          <w:rFonts w:ascii="仿宋_GB2312" w:eastAsia="仿宋_GB2312" w:hAnsi="仿宋_GB2312" w:hint="eastAsia"/>
          <w:color w:val="383838"/>
          <w:sz w:val="27"/>
          <w:szCs w:val="27"/>
          <w:shd w:val="clear" w:color="auto" w:fill="FFFFFF"/>
        </w:rPr>
        <w:t xml:space="preserve"> </w:t>
      </w:r>
      <w:r>
        <w:rPr>
          <w:rFonts w:ascii="Calibri" w:eastAsia="仿宋_GB2312" w:hAnsi="Calibri" w:cs="Calibri"/>
          <w:color w:val="383838"/>
          <w:sz w:val="27"/>
          <w:szCs w:val="27"/>
          <w:shd w:val="clear" w:color="auto" w:fill="FFFFFF"/>
        </w:rPr>
        <w:t> </w:t>
      </w:r>
      <w:r>
        <w:rPr>
          <w:rFonts w:ascii="仿宋_GB2312" w:eastAsia="仿宋_GB2312" w:hAnsi="仿宋_GB2312" w:hint="eastAsia"/>
          <w:color w:val="383838"/>
          <w:sz w:val="27"/>
          <w:szCs w:val="27"/>
          <w:shd w:val="clear" w:color="auto" w:fill="FFFFFF"/>
        </w:rPr>
        <w:t xml:space="preserve"> </w:t>
      </w:r>
      <w:r>
        <w:rPr>
          <w:rFonts w:ascii="Calibri" w:eastAsia="仿宋_GB2312" w:hAnsi="Calibri" w:cs="Calibri"/>
          <w:color w:val="383838"/>
          <w:sz w:val="27"/>
          <w:szCs w:val="27"/>
          <w:shd w:val="clear" w:color="auto" w:fill="FFFFFF"/>
        </w:rPr>
        <w:t> </w:t>
      </w:r>
      <w:r>
        <w:rPr>
          <w:rFonts w:ascii="仿宋_GB2312" w:eastAsia="仿宋_GB2312" w:hAnsi="仿宋_GB2312" w:hint="eastAsia"/>
          <w:color w:val="383838"/>
          <w:sz w:val="27"/>
          <w:szCs w:val="27"/>
          <w:shd w:val="clear" w:color="auto" w:fill="FFFFFF"/>
        </w:rPr>
        <w:t xml:space="preserve"> </w:t>
      </w:r>
      <w:r>
        <w:rPr>
          <w:rFonts w:ascii="Calibri" w:eastAsia="仿宋_GB2312" w:hAnsi="Calibri" w:cs="Calibri"/>
          <w:color w:val="383838"/>
          <w:sz w:val="27"/>
          <w:szCs w:val="27"/>
          <w:shd w:val="clear" w:color="auto" w:fill="FFFFFF"/>
        </w:rPr>
        <w:t> </w:t>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bookmarkStart w:id="0" w:name="_GoBack"/>
      <w:r>
        <w:rPr>
          <w:rFonts w:ascii="微软雅黑" w:eastAsia="微软雅黑" w:hAnsi="微软雅黑"/>
          <w:noProof/>
          <w:color w:val="333333"/>
        </w:rPr>
        <w:lastRenderedPageBreak/>
        <w:drawing>
          <wp:inline distT="0" distB="0" distL="0" distR="0" wp14:anchorId="1D3770C7" wp14:editId="58EAD827">
            <wp:extent cx="5321442" cy="572270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42362" cy="5745200"/>
                    </a:xfrm>
                    <a:prstGeom prst="rect">
                      <a:avLst/>
                    </a:prstGeom>
                    <a:noFill/>
                    <a:ln>
                      <a:noFill/>
                    </a:ln>
                  </pic:spPr>
                </pic:pic>
              </a:graphicData>
            </a:graphic>
          </wp:inline>
        </w:drawing>
      </w:r>
      <w:bookmarkEnd w:id="0"/>
    </w:p>
    <w:p w:rsidR="00E33EB2" w:rsidRDefault="00E33EB2" w:rsidP="00E33EB2">
      <w:pPr>
        <w:pStyle w:val="a3"/>
        <w:shd w:val="clear" w:color="auto" w:fill="FFFFFF"/>
        <w:wordWrap w:val="0"/>
        <w:spacing w:before="0" w:beforeAutospacing="0" w:after="0" w:afterAutospacing="0" w:line="480" w:lineRule="atLeast"/>
        <w:jc w:val="center"/>
        <w:rPr>
          <w:rFonts w:ascii="微软雅黑" w:eastAsia="微软雅黑" w:hAnsi="微软雅黑"/>
          <w:color w:val="333333"/>
        </w:rPr>
      </w:pPr>
      <w:r>
        <w:rPr>
          <w:rFonts w:ascii="仿宋_GB2312" w:eastAsia="仿宋_GB2312" w:hAnsi="仿宋_GB2312" w:hint="eastAsia"/>
          <w:color w:val="333333"/>
        </w:rPr>
        <w:t>图2 应用物理专业主干课程</w:t>
      </w:r>
    </w:p>
    <w:p w:rsidR="00E33EB2" w:rsidRDefault="00E33EB2" w:rsidP="00E33EB2">
      <w:pPr>
        <w:pStyle w:val="a3"/>
        <w:shd w:val="clear" w:color="auto" w:fill="FFFFFF"/>
        <w:wordWrap w:val="0"/>
        <w:spacing w:before="0" w:beforeAutospacing="0" w:after="0" w:afterAutospacing="0" w:line="480" w:lineRule="atLeast"/>
        <w:jc w:val="both"/>
        <w:rPr>
          <w:rFonts w:ascii="微软雅黑" w:eastAsia="微软雅黑" w:hAnsi="微软雅黑"/>
          <w:color w:val="333333"/>
        </w:rPr>
      </w:pPr>
      <w:r>
        <w:rPr>
          <w:rFonts w:ascii="Calibri" w:eastAsia="仿宋_GB2312" w:hAnsi="Calibri" w:cs="Calibri"/>
          <w:color w:val="383838"/>
          <w:sz w:val="27"/>
          <w:szCs w:val="27"/>
        </w:rPr>
        <w:t> </w:t>
      </w:r>
      <w:r>
        <w:rPr>
          <w:rFonts w:ascii="仿宋_GB2312" w:eastAsia="仿宋_GB2312" w:hAnsi="仿宋_GB2312" w:hint="eastAsia"/>
          <w:color w:val="383838"/>
          <w:sz w:val="27"/>
          <w:szCs w:val="27"/>
        </w:rPr>
        <w:t xml:space="preserve"> </w:t>
      </w:r>
      <w:r>
        <w:rPr>
          <w:rFonts w:ascii="Calibri" w:eastAsia="仿宋_GB2312" w:hAnsi="Calibri" w:cs="Calibri"/>
          <w:color w:val="383838"/>
          <w:sz w:val="27"/>
          <w:szCs w:val="27"/>
        </w:rPr>
        <w:t> </w:t>
      </w:r>
      <w:r>
        <w:rPr>
          <w:rFonts w:ascii="仿宋_GB2312" w:eastAsia="仿宋_GB2312" w:hAnsi="仿宋_GB2312" w:hint="eastAsia"/>
          <w:color w:val="383838"/>
          <w:sz w:val="27"/>
          <w:szCs w:val="27"/>
        </w:rPr>
        <w:t xml:space="preserve"> </w:t>
      </w:r>
      <w:r>
        <w:rPr>
          <w:rFonts w:ascii="Calibri" w:eastAsia="仿宋_GB2312" w:hAnsi="Calibri" w:cs="Calibri"/>
          <w:color w:val="383838"/>
          <w:sz w:val="27"/>
          <w:szCs w:val="27"/>
        </w:rPr>
        <w:t> </w:t>
      </w:r>
      <w:r>
        <w:rPr>
          <w:rFonts w:ascii="仿宋_GB2312" w:eastAsia="仿宋_GB2312" w:hAnsi="仿宋_GB2312" w:hint="eastAsia"/>
          <w:color w:val="383838"/>
          <w:sz w:val="27"/>
          <w:szCs w:val="27"/>
        </w:rPr>
        <w:t xml:space="preserve"> </w:t>
      </w:r>
      <w:r>
        <w:rPr>
          <w:rFonts w:ascii="Calibri" w:eastAsia="仿宋_GB2312" w:hAnsi="Calibri" w:cs="Calibri"/>
          <w:color w:val="383838"/>
          <w:sz w:val="27"/>
          <w:szCs w:val="27"/>
        </w:rPr>
        <w:t> </w:t>
      </w:r>
      <w:r>
        <w:rPr>
          <w:rFonts w:ascii="仿宋_GB2312" w:eastAsia="仿宋_GB2312" w:hAnsi="仿宋_GB2312" w:hint="eastAsia"/>
          <w:color w:val="383838"/>
          <w:sz w:val="27"/>
          <w:szCs w:val="27"/>
        </w:rPr>
        <w:t>应用物理学专业人才培养工作由</w:t>
      </w:r>
      <w:r>
        <w:rPr>
          <w:rStyle w:val="a4"/>
          <w:rFonts w:ascii="仿宋_GB2312" w:eastAsia="仿宋_GB2312" w:hAnsi="仿宋_GB2312" w:hint="eastAsia"/>
          <w:color w:val="383838"/>
          <w:sz w:val="27"/>
          <w:szCs w:val="27"/>
        </w:rPr>
        <w:t>应用物理系</w:t>
      </w:r>
      <w:r>
        <w:rPr>
          <w:rFonts w:ascii="仿宋_GB2312" w:eastAsia="仿宋_GB2312" w:hAnsi="仿宋_GB2312" w:hint="eastAsia"/>
          <w:color w:val="383838"/>
          <w:sz w:val="27"/>
          <w:szCs w:val="27"/>
        </w:rPr>
        <w:t>负责，系部</w:t>
      </w:r>
      <w:r>
        <w:rPr>
          <w:rFonts w:ascii="仿宋_GB2312" w:eastAsia="仿宋_GB2312" w:hAnsi="仿宋_GB2312" w:hint="eastAsia"/>
          <w:color w:val="383838"/>
          <w:sz w:val="27"/>
          <w:szCs w:val="27"/>
          <w:shd w:val="clear" w:color="auto" w:fill="FFFFFF"/>
        </w:rPr>
        <w:t>现有教师22人，其中教授2人，副教授10人。近几年先后完成多项国家、省、市、院级科研课题，出版著作、教材4部，发表学术论文数量和质量在本校名列前茅，学生在省大学生物理与实验创新竞赛中屡创佳绩，考入南京大学、中国科技大学、浙江大学、上海交通大学、东南大学等高校和中国科学院攻读研究生多人。2021年，17级应用物理学毕业生考研率突破45%。</w:t>
      </w:r>
    </w:p>
    <w:p w:rsidR="00E33EB2" w:rsidRDefault="00E33EB2" w:rsidP="00E33EB2">
      <w:pPr>
        <w:pStyle w:val="a3"/>
        <w:shd w:val="clear" w:color="auto" w:fill="FFFFFF"/>
        <w:wordWrap w:val="0"/>
        <w:spacing w:before="0" w:beforeAutospacing="0" w:after="0" w:afterAutospacing="0" w:line="480" w:lineRule="atLeast"/>
        <w:jc w:val="center"/>
        <w:rPr>
          <w:rFonts w:ascii="微软雅黑" w:eastAsia="微软雅黑" w:hAnsi="微软雅黑"/>
          <w:color w:val="333333"/>
        </w:rPr>
      </w:pPr>
      <w:r>
        <w:rPr>
          <w:rFonts w:ascii="Calibri" w:eastAsia="仿宋_GB2312" w:hAnsi="Calibri" w:cs="Calibri"/>
          <w:color w:val="383838"/>
          <w:sz w:val="27"/>
          <w:szCs w:val="27"/>
          <w:shd w:val="clear" w:color="auto" w:fill="FFFFFF"/>
        </w:rPr>
        <w:lastRenderedPageBreak/>
        <w:t> </w:t>
      </w:r>
      <w:r>
        <w:rPr>
          <w:rFonts w:ascii="仿宋_GB2312" w:eastAsia="仿宋_GB2312" w:hAnsi="仿宋_GB2312" w:hint="eastAsia"/>
          <w:color w:val="383838"/>
          <w:sz w:val="27"/>
          <w:szCs w:val="27"/>
          <w:shd w:val="clear" w:color="auto" w:fill="FFFFFF"/>
        </w:rPr>
        <w:t xml:space="preserve"> </w:t>
      </w:r>
      <w:r>
        <w:rPr>
          <w:rFonts w:ascii="Calibri" w:eastAsia="仿宋_GB2312" w:hAnsi="Calibri" w:cs="Calibri"/>
          <w:color w:val="383838"/>
          <w:sz w:val="27"/>
          <w:szCs w:val="27"/>
          <w:shd w:val="clear" w:color="auto" w:fill="FFFFFF"/>
        </w:rPr>
        <w:t> </w:t>
      </w:r>
      <w:r>
        <w:rPr>
          <w:rFonts w:ascii="微软雅黑" w:eastAsia="微软雅黑" w:hAnsi="微软雅黑"/>
          <w:noProof/>
          <w:color w:val="333333"/>
        </w:rPr>
        <w:drawing>
          <wp:inline distT="0" distB="0" distL="0" distR="0" wp14:anchorId="72EE44FA" wp14:editId="23DCF488">
            <wp:extent cx="3809365" cy="2406650"/>
            <wp:effectExtent l="0" t="0" r="63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09365" cy="240665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80" w:lineRule="atLeast"/>
        <w:jc w:val="center"/>
        <w:rPr>
          <w:rFonts w:ascii="微软雅黑" w:eastAsia="微软雅黑" w:hAnsi="微软雅黑"/>
          <w:color w:val="333333"/>
        </w:rPr>
      </w:pPr>
      <w:r>
        <w:rPr>
          <w:rFonts w:ascii="仿宋_GB2312" w:eastAsia="仿宋_GB2312" w:hAnsi="仿宋_GB2312" w:hint="eastAsia"/>
          <w:color w:val="333333"/>
        </w:rPr>
        <w:t>图3</w:t>
      </w:r>
      <w:r>
        <w:rPr>
          <w:rFonts w:ascii="Calibri" w:eastAsia="仿宋_GB2312" w:hAnsi="Calibri" w:cs="Calibri"/>
          <w:color w:val="333333"/>
        </w:rPr>
        <w:t> </w:t>
      </w:r>
      <w:r>
        <w:rPr>
          <w:rFonts w:ascii="仿宋_GB2312" w:eastAsia="仿宋_GB2312" w:hAnsi="仿宋_GB2312" w:hint="eastAsia"/>
          <w:color w:val="333333"/>
        </w:rPr>
        <w:t>应用物理专业2021年考研率超45%</w:t>
      </w:r>
    </w:p>
    <w:p w:rsidR="00E33EB2" w:rsidRDefault="00E33EB2" w:rsidP="00E33EB2">
      <w:pPr>
        <w:pStyle w:val="a3"/>
        <w:shd w:val="clear" w:color="auto" w:fill="FFFFFF"/>
        <w:wordWrap w:val="0"/>
        <w:spacing w:before="0" w:beforeAutospacing="0" w:after="0" w:afterAutospacing="0" w:line="480" w:lineRule="atLeast"/>
        <w:jc w:val="both"/>
        <w:rPr>
          <w:rFonts w:ascii="微软雅黑" w:eastAsia="微软雅黑" w:hAnsi="微软雅黑"/>
          <w:color w:val="333333"/>
        </w:rPr>
      </w:pPr>
      <w:r>
        <w:rPr>
          <w:rFonts w:ascii="Calibri" w:eastAsia="仿宋_GB2312" w:hAnsi="Calibri" w:cs="Calibri"/>
          <w:color w:val="383838"/>
          <w:sz w:val="27"/>
          <w:szCs w:val="27"/>
        </w:rPr>
        <w:t> </w:t>
      </w:r>
      <w:r>
        <w:rPr>
          <w:rFonts w:ascii="仿宋_GB2312" w:eastAsia="仿宋_GB2312" w:hAnsi="仿宋_GB2312" w:hint="eastAsia"/>
          <w:color w:val="383838"/>
          <w:sz w:val="27"/>
          <w:szCs w:val="27"/>
        </w:rPr>
        <w:t xml:space="preserve"> </w:t>
      </w:r>
      <w:r>
        <w:rPr>
          <w:rFonts w:ascii="Calibri" w:eastAsia="仿宋_GB2312" w:hAnsi="Calibri" w:cs="Calibri"/>
          <w:color w:val="383838"/>
          <w:sz w:val="27"/>
          <w:szCs w:val="27"/>
        </w:rPr>
        <w:t> </w:t>
      </w:r>
      <w:r>
        <w:rPr>
          <w:rFonts w:ascii="仿宋_GB2312" w:eastAsia="仿宋_GB2312" w:hAnsi="仿宋_GB2312" w:hint="eastAsia"/>
          <w:color w:val="383838"/>
          <w:sz w:val="27"/>
          <w:szCs w:val="27"/>
        </w:rPr>
        <w:t xml:space="preserve"> </w:t>
      </w:r>
      <w:r>
        <w:rPr>
          <w:rFonts w:ascii="Calibri" w:eastAsia="仿宋_GB2312" w:hAnsi="Calibri" w:cs="Calibri"/>
          <w:color w:val="383838"/>
          <w:sz w:val="27"/>
          <w:szCs w:val="27"/>
        </w:rPr>
        <w:t> </w:t>
      </w:r>
      <w:r>
        <w:rPr>
          <w:rFonts w:ascii="仿宋_GB2312" w:eastAsia="仿宋_GB2312" w:hAnsi="仿宋_GB2312" w:hint="eastAsia"/>
          <w:color w:val="383838"/>
          <w:sz w:val="27"/>
          <w:szCs w:val="27"/>
        </w:rPr>
        <w:t xml:space="preserve"> </w:t>
      </w:r>
      <w:r>
        <w:rPr>
          <w:rFonts w:ascii="Calibri" w:eastAsia="仿宋_GB2312" w:hAnsi="Calibri" w:cs="Calibri"/>
          <w:color w:val="383838"/>
          <w:sz w:val="27"/>
          <w:szCs w:val="27"/>
        </w:rPr>
        <w:t> </w:t>
      </w:r>
      <w:r>
        <w:rPr>
          <w:rFonts w:ascii="仿宋_GB2312" w:eastAsia="仿宋_GB2312" w:hAnsi="仿宋_GB2312" w:hint="eastAsia"/>
          <w:color w:val="383838"/>
          <w:sz w:val="27"/>
          <w:szCs w:val="27"/>
        </w:rPr>
        <w:t>为了保障应用物理学专业实验教学、学科竞赛、毕业设计及创新创业需要，依托应用物理系设立了</w:t>
      </w:r>
      <w:r>
        <w:rPr>
          <w:rStyle w:val="a4"/>
          <w:rFonts w:ascii="仿宋_GB2312" w:eastAsia="仿宋_GB2312" w:hAnsi="仿宋_GB2312" w:hint="eastAsia"/>
          <w:color w:val="383838"/>
          <w:sz w:val="27"/>
          <w:szCs w:val="27"/>
        </w:rPr>
        <w:t>江苏科技大学凝聚态物理中心、无损检测研究中、理论物理研究中心</w:t>
      </w:r>
      <w:r>
        <w:rPr>
          <w:rFonts w:ascii="仿宋_GB2312" w:eastAsia="仿宋_GB2312" w:hAnsi="仿宋_GB2312" w:hint="eastAsia"/>
          <w:color w:val="383838"/>
          <w:sz w:val="27"/>
          <w:szCs w:val="27"/>
        </w:rPr>
        <w:t>和应用物理</w:t>
      </w:r>
      <w:r>
        <w:rPr>
          <w:rStyle w:val="a4"/>
          <w:rFonts w:ascii="仿宋_GB2312" w:eastAsia="仿宋_GB2312" w:hAnsi="仿宋_GB2312" w:hint="eastAsia"/>
          <w:color w:val="383838"/>
          <w:sz w:val="27"/>
          <w:szCs w:val="27"/>
        </w:rPr>
        <w:t>专业教学实验室，</w:t>
      </w:r>
      <w:r>
        <w:rPr>
          <w:rFonts w:ascii="仿宋_GB2312" w:eastAsia="仿宋_GB2312" w:hAnsi="仿宋_GB2312" w:hint="eastAsia"/>
          <w:color w:val="383838"/>
          <w:sz w:val="27"/>
          <w:szCs w:val="27"/>
          <w:shd w:val="clear" w:color="auto" w:fill="FFFFFF"/>
        </w:rPr>
        <w:t>拥有材料实验室、光学实验室、无损检测实验室、近代物理实验室、理论与计算实验室等实验室，实验设备价值1600余万元，</w:t>
      </w:r>
      <w:r>
        <w:rPr>
          <w:rFonts w:ascii="仿宋_GB2312" w:eastAsia="仿宋_GB2312" w:hAnsi="仿宋_GB2312" w:hint="eastAsia"/>
          <w:color w:val="383838"/>
          <w:sz w:val="27"/>
          <w:szCs w:val="27"/>
        </w:rPr>
        <w:t>并在多家企业建立了生产实习基地，为实践环节教学和创新活动提供了保障。</w:t>
      </w:r>
    </w:p>
    <w:p w:rsidR="00E33EB2" w:rsidRDefault="00E33EB2" w:rsidP="00E33EB2">
      <w:pPr>
        <w:pStyle w:val="a3"/>
        <w:shd w:val="clear" w:color="auto" w:fill="FFFFFF"/>
        <w:wordWrap w:val="0"/>
        <w:spacing w:before="0" w:beforeAutospacing="0" w:after="0" w:afterAutospacing="0" w:line="480" w:lineRule="atLeast"/>
        <w:jc w:val="center"/>
        <w:rPr>
          <w:rFonts w:ascii="微软雅黑" w:eastAsia="微软雅黑" w:hAnsi="微软雅黑"/>
          <w:color w:val="333333"/>
        </w:rPr>
      </w:pPr>
      <w:r>
        <w:rPr>
          <w:rStyle w:val="a4"/>
          <w:rFonts w:ascii="仿宋_GB2312" w:eastAsia="仿宋_GB2312" w:hAnsi="仿宋_GB2312" w:hint="eastAsia"/>
          <w:color w:val="383838"/>
          <w:sz w:val="27"/>
          <w:szCs w:val="27"/>
        </w:rPr>
        <w:t>凝聚态物理研究中心介绍</w:t>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39D91DFC" wp14:editId="67855BB7">
            <wp:extent cx="6860540" cy="9144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59602D6E" wp14:editId="4D2A6459">
            <wp:extent cx="6860540" cy="9144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59BBA97B" wp14:editId="014810B4">
            <wp:extent cx="6860540" cy="9144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0F61A954" wp14:editId="13B30E6B">
            <wp:extent cx="6860540" cy="9144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30A9C698" wp14:editId="517BE184">
            <wp:extent cx="6860540" cy="9144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7C348F34" wp14:editId="5C66C0A1">
            <wp:extent cx="6860540" cy="9144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0766C3DE" wp14:editId="4FA5F0B1">
            <wp:extent cx="6860540" cy="9144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0C74C670" wp14:editId="604F2281">
            <wp:extent cx="6860540" cy="9144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76ED5F4C" wp14:editId="2481AB54">
            <wp:extent cx="6860540" cy="9144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0B6DD1AF" wp14:editId="74C3D55E">
            <wp:extent cx="6860540" cy="9144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0F11EFC8" wp14:editId="160D5F16">
            <wp:extent cx="6860540" cy="9144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3E2890E4" wp14:editId="36ED2721">
            <wp:extent cx="6860540" cy="9144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80" w:lineRule="atLeast"/>
        <w:jc w:val="center"/>
        <w:rPr>
          <w:rFonts w:ascii="微软雅黑" w:eastAsia="微软雅黑" w:hAnsi="微软雅黑"/>
          <w:color w:val="333333"/>
        </w:rPr>
      </w:pPr>
      <w:r>
        <w:rPr>
          <w:rStyle w:val="a4"/>
          <w:rFonts w:ascii="仿宋_GB2312" w:eastAsia="仿宋_GB2312" w:hAnsi="仿宋_GB2312" w:hint="eastAsia"/>
          <w:color w:val="383838"/>
          <w:sz w:val="27"/>
          <w:szCs w:val="27"/>
        </w:rPr>
        <w:lastRenderedPageBreak/>
        <w:t>无损检测研究中心介绍</w:t>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354B4E60" wp14:editId="5AC863B4">
            <wp:extent cx="6860540" cy="9144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250A80A9" wp14:editId="16ABF05B">
            <wp:extent cx="6860540" cy="91440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1EF68752" wp14:editId="09F0E756">
            <wp:extent cx="6860540" cy="91440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72B229E8" wp14:editId="39D1C335">
            <wp:extent cx="6860540" cy="9144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80" w:lineRule="atLeast"/>
        <w:jc w:val="center"/>
        <w:rPr>
          <w:rFonts w:ascii="微软雅黑" w:eastAsia="微软雅黑" w:hAnsi="微软雅黑"/>
          <w:color w:val="333333"/>
        </w:rPr>
      </w:pPr>
      <w:r>
        <w:rPr>
          <w:rStyle w:val="a4"/>
          <w:rFonts w:ascii="仿宋_GB2312" w:eastAsia="仿宋_GB2312" w:hAnsi="仿宋_GB2312" w:hint="eastAsia"/>
          <w:color w:val="383838"/>
          <w:sz w:val="27"/>
          <w:szCs w:val="27"/>
        </w:rPr>
        <w:lastRenderedPageBreak/>
        <w:t>理论物理研究中心介绍</w:t>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37FE904F" wp14:editId="125648C0">
            <wp:extent cx="6860540" cy="9144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3BF2F73F" wp14:editId="722E9EB7">
            <wp:extent cx="6860540" cy="9144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73040FD7" wp14:editId="4B2DE684">
            <wp:extent cx="6860540" cy="91440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7DE090C8" wp14:editId="0EBA560E">
            <wp:extent cx="6860540" cy="9144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E33EB2" w:rsidRDefault="00E33EB2" w:rsidP="00E33EB2">
      <w:pPr>
        <w:pStyle w:val="a3"/>
        <w:shd w:val="clear" w:color="auto" w:fill="FFFFFF"/>
        <w:wordWrap w:val="0"/>
        <w:spacing w:before="0" w:beforeAutospacing="0" w:after="0" w:afterAutospacing="0" w:line="408" w:lineRule="atLeast"/>
        <w:jc w:val="center"/>
        <w:rPr>
          <w:rFonts w:ascii="微软雅黑" w:eastAsia="微软雅黑" w:hAnsi="微软雅黑"/>
          <w:color w:val="333333"/>
        </w:rPr>
      </w:pPr>
      <w:r>
        <w:rPr>
          <w:rFonts w:ascii="微软雅黑" w:eastAsia="微软雅黑" w:hAnsi="微软雅黑"/>
          <w:noProof/>
          <w:color w:val="333333"/>
        </w:rPr>
        <w:lastRenderedPageBreak/>
        <w:drawing>
          <wp:inline distT="0" distB="0" distL="0" distR="0" wp14:anchorId="2B1F353B" wp14:editId="2D229475">
            <wp:extent cx="6860540" cy="9144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60540" cy="9144000"/>
                    </a:xfrm>
                    <a:prstGeom prst="rect">
                      <a:avLst/>
                    </a:prstGeom>
                    <a:noFill/>
                    <a:ln>
                      <a:noFill/>
                    </a:ln>
                  </pic:spPr>
                </pic:pic>
              </a:graphicData>
            </a:graphic>
          </wp:inline>
        </w:drawing>
      </w:r>
    </w:p>
    <w:p w:rsidR="00BE5765" w:rsidRDefault="00BE5765"/>
    <w:sectPr w:rsidR="00BE576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6537" w:rsidRDefault="00E56537" w:rsidP="00C138EC">
      <w:r>
        <w:separator/>
      </w:r>
    </w:p>
  </w:endnote>
  <w:endnote w:type="continuationSeparator" w:id="0">
    <w:p w:rsidR="00E56537" w:rsidRDefault="00E56537" w:rsidP="00C138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6537" w:rsidRDefault="00E56537" w:rsidP="00C138EC">
      <w:r>
        <w:separator/>
      </w:r>
    </w:p>
  </w:footnote>
  <w:footnote w:type="continuationSeparator" w:id="0">
    <w:p w:rsidR="00E56537" w:rsidRDefault="00E56537" w:rsidP="00C138E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1"/>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3EB2"/>
    <w:rsid w:val="0021161B"/>
    <w:rsid w:val="00215F7D"/>
    <w:rsid w:val="00412CAD"/>
    <w:rsid w:val="004B42AE"/>
    <w:rsid w:val="00520ED4"/>
    <w:rsid w:val="00535C88"/>
    <w:rsid w:val="00541C1D"/>
    <w:rsid w:val="00702C8F"/>
    <w:rsid w:val="007F1FE3"/>
    <w:rsid w:val="008D5740"/>
    <w:rsid w:val="009A4368"/>
    <w:rsid w:val="009C79EB"/>
    <w:rsid w:val="009F2B7A"/>
    <w:rsid w:val="00B003E8"/>
    <w:rsid w:val="00B31458"/>
    <w:rsid w:val="00B51704"/>
    <w:rsid w:val="00BC2130"/>
    <w:rsid w:val="00BE5765"/>
    <w:rsid w:val="00C138EC"/>
    <w:rsid w:val="00C56F7B"/>
    <w:rsid w:val="00CB031D"/>
    <w:rsid w:val="00CB7407"/>
    <w:rsid w:val="00E33EB2"/>
    <w:rsid w:val="00E56537"/>
    <w:rsid w:val="00F3043D"/>
    <w:rsid w:val="00FE70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DECEDFE-7873-428E-BD9F-4EE6A840F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E33EB2"/>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E33EB2"/>
    <w:rPr>
      <w:b/>
      <w:bCs/>
    </w:rPr>
  </w:style>
  <w:style w:type="paragraph" w:styleId="a5">
    <w:name w:val="header"/>
    <w:basedOn w:val="a"/>
    <w:link w:val="a6"/>
    <w:uiPriority w:val="99"/>
    <w:unhideWhenUsed/>
    <w:rsid w:val="00C138EC"/>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C138EC"/>
    <w:rPr>
      <w:sz w:val="18"/>
      <w:szCs w:val="18"/>
    </w:rPr>
  </w:style>
  <w:style w:type="paragraph" w:styleId="a7">
    <w:name w:val="footer"/>
    <w:basedOn w:val="a"/>
    <w:link w:val="a8"/>
    <w:uiPriority w:val="99"/>
    <w:unhideWhenUsed/>
    <w:rsid w:val="00C138EC"/>
    <w:pPr>
      <w:tabs>
        <w:tab w:val="center" w:pos="4153"/>
        <w:tab w:val="right" w:pos="8306"/>
      </w:tabs>
      <w:snapToGrid w:val="0"/>
      <w:jc w:val="left"/>
    </w:pPr>
    <w:rPr>
      <w:sz w:val="18"/>
      <w:szCs w:val="18"/>
    </w:rPr>
  </w:style>
  <w:style w:type="character" w:customStyle="1" w:styleId="a8">
    <w:name w:val="页脚 字符"/>
    <w:basedOn w:val="a0"/>
    <w:link w:val="a7"/>
    <w:uiPriority w:val="99"/>
    <w:rsid w:val="00C138E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2627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27</Pages>
  <Words>128</Words>
  <Characters>733</Characters>
  <Application>Microsoft Office Word</Application>
  <DocSecurity>0</DocSecurity>
  <Lines>6</Lines>
  <Paragraphs>1</Paragraphs>
  <ScaleCrop>false</ScaleCrop>
  <Company/>
  <LinksUpToDate>false</LinksUpToDate>
  <CharactersWithSpaces>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朱明星</dc:creator>
  <cp:keywords/>
  <dc:description/>
  <cp:lastModifiedBy>个人用户</cp:lastModifiedBy>
  <cp:revision>2</cp:revision>
  <dcterms:created xsi:type="dcterms:W3CDTF">2021-10-22T07:57:00Z</dcterms:created>
  <dcterms:modified xsi:type="dcterms:W3CDTF">2021-11-29T01:23:00Z</dcterms:modified>
</cp:coreProperties>
</file>